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tabs>
          <w:tab w:val="left" w:pos="500"/>
        </w:tabs>
        <w:snapToGrid w:val="0"/>
        <w:jc w:val="center"/>
        <w:rPr>
          <w:rFonts w:hint="default" w:ascii="宋体" w:hAnsi="宋体"/>
          <w:b/>
          <w:color w:val="FF0000"/>
          <w:sz w:val="48"/>
          <w:szCs w:val="48"/>
          <w:lang w:val="en-US"/>
        </w:rPr>
      </w:pPr>
      <w:r>
        <w:rPr>
          <w:rFonts w:hint="eastAsia" w:ascii="宋体" w:hAnsi="宋体"/>
          <w:b/>
          <w:color w:val="auto"/>
          <w:sz w:val="44"/>
          <w:szCs w:val="44"/>
          <w:lang w:val="en-US" w:eastAsia="zh-CN"/>
        </w:rPr>
        <w:t>防疫设备采购项目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FYZB-2021-0207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_Toc10565 </w:instrText>
      </w:r>
      <w:r>
        <w:fldChar w:fldCharType="separate"/>
      </w:r>
      <w:r>
        <w:rPr>
          <w:rFonts w:hint="eastAsia"/>
        </w:rPr>
        <w:t>第一章  竞价采购公告</w:t>
      </w:r>
      <w:r>
        <w:tab/>
      </w:r>
      <w:r>
        <w:fldChar w:fldCharType="begin"/>
      </w:r>
      <w:r>
        <w:instrText xml:space="preserve"> PAGEREF _Toc10565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_Toc9632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_Toc9632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_Toc6426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_Toc6426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_Toc12864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_Toc12864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_Toc17539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_Toc17539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_Toc2888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_Toc2888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_Toc14911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_Toc14911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_Toc28601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_Toc28601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_Toc25500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_Toc25500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_Toc30900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_Toc30900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_Toc7704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_Toc7704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_Toc6933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_Toc6933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45806782"/>
      <w:bookmarkStart w:id="3" w:name="_Toc211570245"/>
      <w:bookmarkStart w:id="4" w:name="_Toc156585290"/>
      <w:bookmarkStart w:id="5" w:name="_Toc201565762"/>
      <w:bookmarkStart w:id="6" w:name="_Toc185037690"/>
    </w:p>
    <w:p>
      <w:pPr>
        <w:pStyle w:val="3"/>
        <w:rPr>
          <w:rFonts w:ascii="黑体"/>
          <w:color w:val="auto"/>
          <w:szCs w:val="32"/>
        </w:rPr>
      </w:pPr>
      <w:bookmarkStart w:id="7" w:name="_Toc10565"/>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4"/>
      <w:bookmarkStart w:id="10" w:name="OLE_LINK6"/>
      <w:bookmarkStart w:id="11" w:name="OLE_LINK5"/>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黑龙江省交投高速公路运营管理有限公司防疫设备采购项目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9632"/>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FYZB-2021-0207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黑龙江省交投高速公路运营管理有限公司防疫设备采购项目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防疫设备采购，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：验货合格三日内。</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sz w:val="24"/>
          <w:szCs w:val="24"/>
          <w:lang w:val="en-US" w:eastAsia="zh-CN"/>
        </w:rPr>
        <w:t>合同签订后三日内。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交货及安装</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1.7质保期：</w:t>
      </w:r>
      <w:r>
        <w:rPr>
          <w:rFonts w:hint="eastAsia"/>
          <w:sz w:val="24"/>
          <w:szCs w:val="24"/>
        </w:rPr>
        <w:t>一年</w:t>
      </w:r>
      <w:r>
        <w:rPr>
          <w:rFonts w:hint="eastAsia" w:cs="宋体"/>
          <w:color w:val="auto"/>
          <w:highlight w:val="none"/>
          <w:lang w:val="en-US" w:eastAsia="zh-CN"/>
        </w:rPr>
        <w:t>。</w:t>
      </w:r>
    </w:p>
    <w:p>
      <w:pPr>
        <w:pStyle w:val="16"/>
        <w:widowControl/>
        <w:spacing w:before="0" w:beforeAutospacing="0" w:after="0" w:afterAutospacing="0" w:line="360" w:lineRule="auto"/>
        <w:ind w:firstLine="480"/>
        <w:rPr>
          <w:rFonts w:hint="default" w:eastAsia="宋体" w:cs="宋体"/>
          <w:color w:val="auto"/>
          <w:highlight w:val="none"/>
          <w:lang w:val="en-US" w:eastAsia="zh-CN"/>
        </w:rPr>
      </w:pPr>
      <w:r>
        <w:rPr>
          <w:rFonts w:hint="eastAsia" w:cs="宋体"/>
          <w:color w:val="auto"/>
          <w:highlight w:val="none"/>
          <w:lang w:val="en-US" w:eastAsia="zh-CN"/>
        </w:rPr>
        <w:t>1.8其他要求：</w:t>
      </w:r>
      <w:r>
        <w:rPr>
          <w:rFonts w:hint="eastAsia"/>
          <w:sz w:val="24"/>
          <w:szCs w:val="24"/>
          <w:lang w:val="en-US" w:eastAsia="zh-CN"/>
        </w:rPr>
        <w:t>如发生机器故障，须有专业维修人员12小时内上门维修。</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6426"/>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12864"/>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3.1采购预算金额为290000.00元</w:t>
      </w:r>
      <w:r>
        <w:rPr>
          <w:rFonts w:hint="eastAsia" w:ascii="宋体" w:hAnsi="宋体"/>
          <w:color w:val="auto"/>
          <w:sz w:val="24"/>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w:t>
      </w:r>
      <w:r>
        <w:rPr>
          <w:rFonts w:hint="eastAsia" w:ascii="宋体" w:hAnsi="宋体"/>
          <w:color w:val="auto"/>
          <w:sz w:val="24"/>
          <w:lang w:val="en-US" w:eastAsia="zh-CN"/>
        </w:rPr>
        <w:t>专用</w:t>
      </w:r>
      <w:r>
        <w:rPr>
          <w:rFonts w:hint="eastAsia" w:ascii="宋体" w:hAnsi="宋体"/>
          <w:color w:val="auto"/>
          <w:sz w:val="24"/>
        </w:rPr>
        <w:t>发票）</w:t>
      </w:r>
    </w:p>
    <w:p>
      <w:pPr>
        <w:pStyle w:val="4"/>
        <w:rPr>
          <w:color w:val="auto"/>
        </w:rPr>
      </w:pPr>
      <w:bookmarkStart w:id="16" w:name="_Toc17539"/>
      <w:r>
        <w:rPr>
          <w:rFonts w:hint="eastAsia"/>
          <w:color w:val="auto"/>
        </w:rPr>
        <w:t>四、意向供应商资格要求</w:t>
      </w:r>
      <w:bookmarkEnd w:id="16"/>
      <w:bookmarkStart w:id="26" w:name="_GoBack"/>
      <w:bookmarkEnd w:id="2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w:t>
      </w:r>
      <w:r>
        <w:rPr>
          <w:rFonts w:hint="eastAsia" w:ascii="宋体" w:hAnsi="宋体"/>
          <w:color w:val="auto"/>
          <w:sz w:val="24"/>
          <w:lang w:val="en-US" w:eastAsia="zh-CN"/>
        </w:rPr>
        <w:t>意</w:t>
      </w:r>
      <w:r>
        <w:rPr>
          <w:rFonts w:hint="eastAsia" w:ascii="宋体" w:hAnsi="宋体"/>
          <w:color w:val="auto"/>
          <w:sz w:val="24"/>
        </w:rPr>
        <w:t>向供应商须具有独立法人资格，具备有效的法人营业执照、税务登记证、组织机构代码证或统一社会信用代码的营业执照，营业执照经营范围须符合本项目采购内容。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4.8意向供应商须承诺在供货期间为采购人提供所供</w:t>
      </w:r>
      <w:r>
        <w:rPr>
          <w:rFonts w:hint="eastAsia" w:ascii="宋体" w:hAnsi="宋体"/>
          <w:color w:val="auto"/>
          <w:sz w:val="24"/>
          <w:lang w:val="en-US" w:eastAsia="zh-CN"/>
        </w:rPr>
        <w:t>产品的</w:t>
      </w:r>
      <w:r>
        <w:rPr>
          <w:rFonts w:hint="eastAsia" w:ascii="宋体" w:hAnsi="宋体"/>
          <w:color w:val="auto"/>
          <w:sz w:val="24"/>
        </w:rPr>
        <w:t>维修维护（成交后向采购人提供经法定代表人签字并加盖单位公章的承诺书原件）。</w:t>
      </w:r>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4.9意向供应商、法定代表人及授权委托人近三年在“中国裁判文书网”（http://wenshu.court.gov.cn）无行贿犯罪记录。</w:t>
      </w:r>
    </w:p>
    <w:p>
      <w:pPr>
        <w:snapToGrid w:val="0"/>
        <w:ind w:right="-58" w:firstLine="480" w:firstLineChars="200"/>
        <w:rPr>
          <w:rFonts w:hint="default" w:ascii="宋体" w:hAnsi="宋体" w:eastAsia="宋体"/>
          <w:color w:val="auto"/>
          <w:sz w:val="24"/>
          <w:lang w:val="en-US" w:eastAsia="zh-CN"/>
        </w:rPr>
      </w:pPr>
      <w:r>
        <w:rPr>
          <w:rFonts w:hint="eastAsia" w:ascii="宋体" w:hAnsi="宋体"/>
          <w:color w:val="auto"/>
          <w:sz w:val="24"/>
          <w:lang w:val="en-US" w:eastAsia="zh-CN"/>
        </w:rPr>
        <w:t>4.10意向供应商近三年未被“信用中国”（https://www.creditchina.gov.cn/）列入失信被执行人名单。</w:t>
      </w:r>
    </w:p>
    <w:p>
      <w:pPr>
        <w:snapToGrid w:val="0"/>
        <w:ind w:right="-58" w:firstLine="480" w:firstLineChars="200"/>
        <w:rPr>
          <w:rFonts w:ascii="宋体" w:hAnsi="宋体"/>
          <w:color w:val="auto"/>
          <w:sz w:val="24"/>
        </w:rPr>
      </w:pPr>
      <w:r>
        <w:rPr>
          <w:rFonts w:hint="eastAsia" w:ascii="宋体" w:hAnsi="宋体"/>
          <w:color w:val="auto"/>
          <w:sz w:val="24"/>
          <w:lang w:val="en-US" w:eastAsia="zh-CN"/>
        </w:rPr>
        <w:t>4.11</w:t>
      </w:r>
      <w:r>
        <w:rPr>
          <w:rFonts w:hint="eastAsia" w:ascii="宋体" w:hAnsi="宋体"/>
          <w:color w:val="auto"/>
          <w:sz w:val="24"/>
        </w:rPr>
        <w:t>本项目不接受联合体参加。</w:t>
      </w:r>
    </w:p>
    <w:p>
      <w:pPr>
        <w:pStyle w:val="4"/>
        <w:rPr>
          <w:color w:val="auto"/>
        </w:rPr>
      </w:pPr>
      <w:bookmarkStart w:id="17" w:name="_Toc288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491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6.2.1保证金金额：小写：5800.00元；大写：伍仟捌佰元整。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2021年02月10日15时00分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28601"/>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290000.00</w:t>
      </w:r>
      <w:r>
        <w:rPr>
          <w:rFonts w:hint="eastAsia" w:ascii="宋体" w:hAnsi="宋体" w:eastAsia="宋体" w:cs="Times New Roman"/>
          <w:color w:val="auto"/>
          <w:kern w:val="2"/>
          <w:sz w:val="24"/>
          <w:szCs w:val="24"/>
          <w:highlight w:val="none"/>
          <w:lang w:val="en-US" w:eastAsia="zh-CN" w:bidi="ar-SA"/>
        </w:rPr>
        <w:t>0元</w:t>
      </w:r>
      <w:r>
        <w:rPr>
          <w:rFonts w:hint="eastAsia" w:ascii="宋体" w:hAnsi="宋体"/>
          <w:color w:val="auto"/>
          <w:sz w:val="24"/>
        </w:rPr>
        <w:t>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“中国裁判文书网”及“信用中国”加盖公章的网站截图的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2021年02月09日15时00分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2月</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日15时00分</w:t>
      </w:r>
      <w:r>
        <w:rPr>
          <w:rFonts w:hint="eastAsia" w:ascii="宋体" w:hAnsi="宋体"/>
          <w:color w:val="auto"/>
          <w:sz w:val="24"/>
          <w:szCs w:val="24"/>
        </w:rPr>
        <w:t>。</w:t>
      </w:r>
    </w:p>
    <w:p>
      <w:pPr>
        <w:pStyle w:val="4"/>
        <w:rPr>
          <w:rFonts w:ascii="宋体" w:hAnsi="宋体"/>
          <w:color w:val="auto"/>
        </w:rPr>
      </w:pPr>
      <w:bookmarkStart w:id="20" w:name="_Toc25500"/>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0900"/>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7704"/>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693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址：黑龙江省哈平路199号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人：夏先生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15146440001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E30F1F"/>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02763"/>
    <w:rsid w:val="10EA45B9"/>
    <w:rsid w:val="11346698"/>
    <w:rsid w:val="121E4F8B"/>
    <w:rsid w:val="12621615"/>
    <w:rsid w:val="12831CFB"/>
    <w:rsid w:val="12A40493"/>
    <w:rsid w:val="12D40CE1"/>
    <w:rsid w:val="1309743E"/>
    <w:rsid w:val="13572391"/>
    <w:rsid w:val="13944281"/>
    <w:rsid w:val="13AA11FD"/>
    <w:rsid w:val="13E5363B"/>
    <w:rsid w:val="140B5AF7"/>
    <w:rsid w:val="140D509F"/>
    <w:rsid w:val="14207B19"/>
    <w:rsid w:val="14754EDA"/>
    <w:rsid w:val="150D2076"/>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1947D92"/>
    <w:rsid w:val="22196FCD"/>
    <w:rsid w:val="224C670A"/>
    <w:rsid w:val="22CD3694"/>
    <w:rsid w:val="23187766"/>
    <w:rsid w:val="23216B2A"/>
    <w:rsid w:val="23307C31"/>
    <w:rsid w:val="23B23E2D"/>
    <w:rsid w:val="23C04B00"/>
    <w:rsid w:val="247B02CD"/>
    <w:rsid w:val="24BB21C6"/>
    <w:rsid w:val="24D17285"/>
    <w:rsid w:val="2528127E"/>
    <w:rsid w:val="25651C69"/>
    <w:rsid w:val="267172D1"/>
    <w:rsid w:val="26BE078B"/>
    <w:rsid w:val="26C7362E"/>
    <w:rsid w:val="26F504D3"/>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2F9B2B00"/>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90E4606"/>
    <w:rsid w:val="394A63F4"/>
    <w:rsid w:val="395E57A3"/>
    <w:rsid w:val="396E29BA"/>
    <w:rsid w:val="39DD5174"/>
    <w:rsid w:val="3A2018FF"/>
    <w:rsid w:val="3A3E4334"/>
    <w:rsid w:val="3A97095D"/>
    <w:rsid w:val="3AD13566"/>
    <w:rsid w:val="3B666A69"/>
    <w:rsid w:val="3C3A22BF"/>
    <w:rsid w:val="3C6E113B"/>
    <w:rsid w:val="3D2573CB"/>
    <w:rsid w:val="3D74768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22B80"/>
    <w:rsid w:val="4B492AFF"/>
    <w:rsid w:val="4B4D1E9C"/>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07728"/>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30124C"/>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6A0797F"/>
    <w:rsid w:val="77527419"/>
    <w:rsid w:val="77FC29B1"/>
    <w:rsid w:val="7821076F"/>
    <w:rsid w:val="786D0F9E"/>
    <w:rsid w:val="788A260A"/>
    <w:rsid w:val="7906253C"/>
    <w:rsid w:val="796E04E0"/>
    <w:rsid w:val="79F42352"/>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F3D6513"/>
    <w:rsid w:val="7F864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2021-02-05T05:27:03Z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